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4" w:rsidRPr="008A56AD" w:rsidRDefault="008A56AD" w:rsidP="008A56AD">
      <w:pPr>
        <w:rPr>
          <w:sz w:val="20"/>
        </w:rPr>
      </w:pPr>
      <w:r w:rsidRPr="008A56AD">
        <w:rPr>
          <w:noProof/>
          <w:sz w:val="20"/>
          <w:lang w:eastAsia="fr-FR"/>
        </w:rPr>
        <w:drawing>
          <wp:inline distT="0" distB="0" distL="0" distR="0" wp14:anchorId="50608D91" wp14:editId="2323C3DA">
            <wp:extent cx="792088" cy="594066"/>
            <wp:effectExtent l="0" t="0" r="825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59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50CE4" w:rsidRPr="008A56AD">
        <w:rPr>
          <w:sz w:val="20"/>
        </w:rPr>
        <w:t xml:space="preserve"> </w:t>
      </w:r>
    </w:p>
    <w:p w:rsidR="00150CE4" w:rsidRPr="008A56AD" w:rsidRDefault="008A56AD" w:rsidP="00150CE4">
      <w:pPr>
        <w:contextualSpacing/>
        <w:jc w:val="center"/>
        <w:rPr>
          <w:sz w:val="20"/>
        </w:rPr>
      </w:pPr>
      <w:r w:rsidRPr="008A56AD">
        <w:rPr>
          <w:sz w:val="20"/>
        </w:rPr>
        <w:t xml:space="preserve">Assistant-Chef de Clinique Oncologue –Radiothérapeute </w:t>
      </w:r>
    </w:p>
    <w:p w:rsidR="00150CE4" w:rsidRPr="008A56AD" w:rsidRDefault="008A56AD" w:rsidP="00150CE4">
      <w:pPr>
        <w:contextualSpacing/>
        <w:jc w:val="center"/>
        <w:rPr>
          <w:sz w:val="20"/>
        </w:rPr>
      </w:pPr>
      <w:r w:rsidRPr="008A56AD">
        <w:rPr>
          <w:sz w:val="20"/>
        </w:rPr>
        <w:t>Institut de C</w:t>
      </w:r>
      <w:r w:rsidR="00150CE4" w:rsidRPr="008A56AD">
        <w:rPr>
          <w:sz w:val="20"/>
        </w:rPr>
        <w:t xml:space="preserve">ancérologie de Lorraine (ICL) </w:t>
      </w:r>
      <w:r w:rsidR="00F60957" w:rsidRPr="008A56AD">
        <w:rPr>
          <w:sz w:val="20"/>
        </w:rPr>
        <w:t xml:space="preserve">Alexis Vautrin </w:t>
      </w:r>
      <w:r w:rsidR="00150CE4" w:rsidRPr="008A56AD">
        <w:rPr>
          <w:sz w:val="20"/>
        </w:rPr>
        <w:t>– Nancy</w:t>
      </w:r>
      <w:r w:rsidRPr="008A56AD">
        <w:rPr>
          <w:sz w:val="20"/>
        </w:rPr>
        <w:t xml:space="preserve">  </w:t>
      </w:r>
      <w:hyperlink r:id="rId8" w:history="1">
        <w:r w:rsidRPr="008A56AD">
          <w:rPr>
            <w:rStyle w:val="Lienhypertexte"/>
            <w:rFonts w:ascii="Arial" w:hAnsi="Arial" w:cs="Arial"/>
            <w:sz w:val="16"/>
            <w:szCs w:val="18"/>
            <w:lang w:eastAsia="fr-FR"/>
          </w:rPr>
          <w:t>www.icl-lorraine.fr</w:t>
        </w:r>
      </w:hyperlink>
    </w:p>
    <w:p w:rsidR="008F559D" w:rsidRPr="008A56AD" w:rsidRDefault="008F559D" w:rsidP="008A56AD">
      <w:pPr>
        <w:contextualSpacing/>
        <w:rPr>
          <w:sz w:val="20"/>
        </w:rPr>
      </w:pPr>
    </w:p>
    <w:p w:rsidR="008F559D" w:rsidRPr="008A56AD" w:rsidRDefault="008F559D" w:rsidP="00F60957">
      <w:pPr>
        <w:spacing w:line="20" w:lineRule="atLeast"/>
        <w:contextualSpacing/>
        <w:jc w:val="both"/>
        <w:rPr>
          <w:sz w:val="20"/>
        </w:rPr>
      </w:pPr>
      <w:r w:rsidRPr="008A56AD">
        <w:rPr>
          <w:sz w:val="20"/>
        </w:rPr>
        <w:t>L’</w:t>
      </w:r>
      <w:r w:rsidRPr="008A56AD">
        <w:rPr>
          <w:b/>
          <w:sz w:val="20"/>
        </w:rPr>
        <w:t>Institut de Cancérologie de Lorraine</w:t>
      </w:r>
      <w:r w:rsidR="00531D41" w:rsidRPr="008A56AD">
        <w:rPr>
          <w:sz w:val="20"/>
        </w:rPr>
        <w:t xml:space="preserve"> (ICL), </w:t>
      </w:r>
      <w:r w:rsidRPr="008A56AD">
        <w:rPr>
          <w:sz w:val="20"/>
        </w:rPr>
        <w:t xml:space="preserve">rassemble près de 800 collaborateurs dans une mission de service public en cancérologie à travers des activités de soin, d’enseignement et de recherche dont 80 praticiens et chercheurs. </w:t>
      </w:r>
      <w:r w:rsidR="001148D9" w:rsidRPr="008A56AD">
        <w:rPr>
          <w:sz w:val="20"/>
        </w:rPr>
        <w:t>Son service de</w:t>
      </w:r>
      <w:r w:rsidR="00110796" w:rsidRPr="008A56AD">
        <w:rPr>
          <w:sz w:val="20"/>
        </w:rPr>
        <w:t xml:space="preserve"> Radiothérapie pratique l’ensemble des techniques de haute technicité (RCMI, </w:t>
      </w:r>
      <w:proofErr w:type="spellStart"/>
      <w:r w:rsidR="00110796" w:rsidRPr="008A56AD">
        <w:rPr>
          <w:sz w:val="20"/>
        </w:rPr>
        <w:t>Tomotherapy</w:t>
      </w:r>
      <w:proofErr w:type="spellEnd"/>
      <w:r w:rsidR="00110796" w:rsidRPr="008A56AD">
        <w:rPr>
          <w:sz w:val="20"/>
        </w:rPr>
        <w:t xml:space="preserve">, </w:t>
      </w:r>
      <w:proofErr w:type="spellStart"/>
      <w:r w:rsidR="00110796" w:rsidRPr="008A56AD">
        <w:rPr>
          <w:sz w:val="20"/>
        </w:rPr>
        <w:t>Cyberknife</w:t>
      </w:r>
      <w:proofErr w:type="spellEnd"/>
      <w:r w:rsidR="00110796" w:rsidRPr="008A56AD">
        <w:rPr>
          <w:sz w:val="20"/>
        </w:rPr>
        <w:t xml:space="preserve">) et de Curiethérapie. </w:t>
      </w:r>
    </w:p>
    <w:p w:rsidR="008F559D" w:rsidRPr="008A56AD" w:rsidRDefault="008F559D" w:rsidP="00F60957">
      <w:pPr>
        <w:spacing w:line="20" w:lineRule="atLeast"/>
        <w:contextualSpacing/>
        <w:jc w:val="both"/>
        <w:rPr>
          <w:sz w:val="20"/>
        </w:rPr>
      </w:pPr>
    </w:p>
    <w:p w:rsidR="008F559D" w:rsidRPr="008A56AD" w:rsidRDefault="008F559D" w:rsidP="008A56AD">
      <w:pPr>
        <w:spacing w:line="20" w:lineRule="atLeast"/>
        <w:contextualSpacing/>
        <w:jc w:val="center"/>
        <w:rPr>
          <w:b/>
          <w:sz w:val="20"/>
        </w:rPr>
      </w:pPr>
      <w:r w:rsidRPr="008A56AD">
        <w:rPr>
          <w:b/>
          <w:sz w:val="20"/>
        </w:rPr>
        <w:t>L’ICL recrute un(e) Oncologue R</w:t>
      </w:r>
      <w:r w:rsidR="008A56AD" w:rsidRPr="008A56AD">
        <w:rPr>
          <w:b/>
          <w:sz w:val="20"/>
        </w:rPr>
        <w:t xml:space="preserve">adiothérapeute sur un poste de Chef de clinique </w:t>
      </w:r>
      <w:r w:rsidR="00531D41" w:rsidRPr="008A56AD">
        <w:rPr>
          <w:b/>
          <w:sz w:val="20"/>
        </w:rPr>
        <w:t xml:space="preserve"> dans son équipe pour une </w:t>
      </w:r>
      <w:r w:rsidR="00110796" w:rsidRPr="008A56AD">
        <w:rPr>
          <w:b/>
          <w:sz w:val="20"/>
        </w:rPr>
        <w:t xml:space="preserve">prise de fonction en Novembre 2017 </w:t>
      </w:r>
    </w:p>
    <w:p w:rsidR="008F559D" w:rsidRPr="008A56AD" w:rsidRDefault="00531D41" w:rsidP="00F60957">
      <w:pPr>
        <w:spacing w:line="20" w:lineRule="atLeast"/>
        <w:jc w:val="both"/>
        <w:rPr>
          <w:sz w:val="20"/>
        </w:rPr>
      </w:pPr>
      <w:r w:rsidRPr="008A56AD">
        <w:rPr>
          <w:sz w:val="20"/>
        </w:rPr>
        <w:t>L’a</w:t>
      </w:r>
      <w:r w:rsidR="008F559D" w:rsidRPr="008A56AD">
        <w:rPr>
          <w:sz w:val="20"/>
        </w:rPr>
        <w:t xml:space="preserve">ctivité principale </w:t>
      </w:r>
      <w:r w:rsidRPr="008A56AD">
        <w:rPr>
          <w:sz w:val="20"/>
        </w:rPr>
        <w:t>s’effectuera dans le</w:t>
      </w:r>
      <w:r w:rsidR="008F559D" w:rsidRPr="008A56AD">
        <w:rPr>
          <w:sz w:val="20"/>
        </w:rPr>
        <w:t xml:space="preserve"> service </w:t>
      </w:r>
      <w:r w:rsidRPr="008A56AD">
        <w:rPr>
          <w:sz w:val="20"/>
        </w:rPr>
        <w:t>de Radiothérapie de l’ICL à Nancy</w:t>
      </w:r>
      <w:r w:rsidR="00F60957" w:rsidRPr="008A56AD">
        <w:rPr>
          <w:sz w:val="20"/>
        </w:rPr>
        <w:t xml:space="preserve"> et sera partagée avec une activité sur le site d’Epinal</w:t>
      </w:r>
      <w:r w:rsidR="008A56AD" w:rsidRPr="008A56AD">
        <w:rPr>
          <w:sz w:val="20"/>
        </w:rPr>
        <w:t xml:space="preserve"> 1 jour par </w:t>
      </w:r>
      <w:proofErr w:type="gramStart"/>
      <w:r w:rsidR="008A56AD" w:rsidRPr="008A56AD">
        <w:rPr>
          <w:sz w:val="20"/>
        </w:rPr>
        <w:t xml:space="preserve">semaine </w:t>
      </w:r>
      <w:r w:rsidRPr="008A56AD">
        <w:rPr>
          <w:sz w:val="20"/>
        </w:rPr>
        <w:t>.</w:t>
      </w:r>
      <w:proofErr w:type="gramEnd"/>
      <w:r w:rsidRPr="008A56AD">
        <w:rPr>
          <w:sz w:val="20"/>
        </w:rPr>
        <w:t xml:space="preserve"> </w:t>
      </w:r>
      <w:r w:rsidR="008A56AD" w:rsidRPr="008A56AD">
        <w:rPr>
          <w:sz w:val="20"/>
        </w:rPr>
        <w:t>Les appareils de traitement et de dosimétrie ainsi que l’ensemble des procédures et modes opératoires son</w:t>
      </w:r>
      <w:r w:rsidR="008A56AD" w:rsidRPr="008A56AD">
        <w:rPr>
          <w:sz w:val="20"/>
        </w:rPr>
        <w:t>t communs entre les deux sites.</w:t>
      </w:r>
    </w:p>
    <w:p w:rsidR="00531D41" w:rsidRPr="008A56AD" w:rsidRDefault="00531D41" w:rsidP="008A56AD">
      <w:pPr>
        <w:pStyle w:val="Paragraphedeliste"/>
        <w:numPr>
          <w:ilvl w:val="0"/>
          <w:numId w:val="4"/>
        </w:numPr>
        <w:spacing w:line="240" w:lineRule="auto"/>
        <w:ind w:left="284" w:hanging="284"/>
        <w:jc w:val="both"/>
        <w:rPr>
          <w:sz w:val="20"/>
        </w:rPr>
      </w:pPr>
      <w:r w:rsidRPr="008A56AD">
        <w:rPr>
          <w:sz w:val="20"/>
          <w:u w:val="single"/>
        </w:rPr>
        <w:t>Le service de radiothérapie de l’ICL est équipé de</w:t>
      </w:r>
      <w:r w:rsidRPr="008A56AD">
        <w:rPr>
          <w:sz w:val="20"/>
        </w:rPr>
        <w:t xml:space="preserve"> : </w:t>
      </w:r>
    </w:p>
    <w:p w:rsidR="00087AC0" w:rsidRPr="008A56AD" w:rsidRDefault="00087AC0" w:rsidP="008A56AD">
      <w:pPr>
        <w:pStyle w:val="Paragraphedeliste"/>
        <w:spacing w:line="240" w:lineRule="auto"/>
        <w:ind w:left="284"/>
        <w:jc w:val="both"/>
        <w:rPr>
          <w:sz w:val="8"/>
        </w:rPr>
      </w:pPr>
    </w:p>
    <w:p w:rsidR="00531D41" w:rsidRPr="008A56AD" w:rsidRDefault="001B6C59" w:rsidP="008A56A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8A56AD">
        <w:rPr>
          <w:sz w:val="20"/>
        </w:rPr>
        <w:t>6 appareils de traitement </w:t>
      </w:r>
      <w:proofErr w:type="gramStart"/>
      <w:r w:rsidRPr="008A56AD">
        <w:rPr>
          <w:sz w:val="20"/>
        </w:rPr>
        <w:t xml:space="preserve">: </w:t>
      </w:r>
      <w:r w:rsidR="00531D41" w:rsidRPr="008A56AD">
        <w:rPr>
          <w:sz w:val="20"/>
        </w:rPr>
        <w:t xml:space="preserve"> 3</w:t>
      </w:r>
      <w:proofErr w:type="gramEnd"/>
      <w:r w:rsidR="00531D41" w:rsidRPr="008A56AD">
        <w:rPr>
          <w:sz w:val="20"/>
        </w:rPr>
        <w:t xml:space="preserve"> </w:t>
      </w:r>
      <w:proofErr w:type="spellStart"/>
      <w:r w:rsidR="00531D41" w:rsidRPr="008A56AD">
        <w:rPr>
          <w:sz w:val="20"/>
        </w:rPr>
        <w:t>RapidArc</w:t>
      </w:r>
      <w:proofErr w:type="spellEnd"/>
      <w:r w:rsidR="00531D41" w:rsidRPr="008A56AD">
        <w:rPr>
          <w:sz w:val="20"/>
        </w:rPr>
        <w:t>® Varian</w:t>
      </w:r>
      <w:r w:rsidR="008A56AD" w:rsidRPr="008A56AD">
        <w:rPr>
          <w:sz w:val="20"/>
        </w:rPr>
        <w:t>,</w:t>
      </w:r>
      <w:r w:rsidR="00531D41" w:rsidRPr="008A56AD">
        <w:rPr>
          <w:sz w:val="20"/>
        </w:rPr>
        <w:t xml:space="preserve">2 </w:t>
      </w:r>
      <w:proofErr w:type="spellStart"/>
      <w:r w:rsidR="00531D41" w:rsidRPr="008A56AD">
        <w:rPr>
          <w:sz w:val="20"/>
        </w:rPr>
        <w:t>Tomotherapy</w:t>
      </w:r>
      <w:proofErr w:type="spellEnd"/>
      <w:r w:rsidR="00531D41" w:rsidRPr="008A56AD">
        <w:rPr>
          <w:sz w:val="20"/>
        </w:rPr>
        <w:t xml:space="preserve">® </w:t>
      </w:r>
      <w:r w:rsidR="008A56AD" w:rsidRPr="008A56AD">
        <w:rPr>
          <w:sz w:val="20"/>
        </w:rPr>
        <w:t>,</w:t>
      </w:r>
      <w:r w:rsidR="00531D41" w:rsidRPr="008A56AD">
        <w:rPr>
          <w:sz w:val="20"/>
        </w:rPr>
        <w:t xml:space="preserve">1 </w:t>
      </w:r>
      <w:proofErr w:type="spellStart"/>
      <w:r w:rsidR="00531D41" w:rsidRPr="008A56AD">
        <w:rPr>
          <w:sz w:val="20"/>
        </w:rPr>
        <w:t>Cyberknife</w:t>
      </w:r>
      <w:proofErr w:type="spellEnd"/>
      <w:r w:rsidR="00531D41" w:rsidRPr="008A56AD">
        <w:rPr>
          <w:sz w:val="20"/>
        </w:rPr>
        <w:t xml:space="preserve">® </w:t>
      </w:r>
    </w:p>
    <w:p w:rsidR="00531D41" w:rsidRPr="008A56AD" w:rsidRDefault="00531D41" w:rsidP="008A56A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Un scanner d’acquisition Philips </w:t>
      </w:r>
      <w:proofErr w:type="spellStart"/>
      <w:r w:rsidRPr="008A56AD">
        <w:rPr>
          <w:sz w:val="20"/>
        </w:rPr>
        <w:t>Big</w:t>
      </w:r>
      <w:proofErr w:type="spellEnd"/>
      <w:r w:rsidRPr="008A56AD">
        <w:rPr>
          <w:sz w:val="20"/>
        </w:rPr>
        <w:t xml:space="preserve"> Bore</w:t>
      </w:r>
    </w:p>
    <w:p w:rsidR="00531D41" w:rsidRPr="008A56AD" w:rsidRDefault="001B6C59" w:rsidP="008A56A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3 projecteurs </w:t>
      </w:r>
      <w:r w:rsidR="008A56AD" w:rsidRPr="008A56AD">
        <w:rPr>
          <w:sz w:val="20"/>
        </w:rPr>
        <w:t xml:space="preserve">PDR et </w:t>
      </w:r>
      <w:r w:rsidRPr="008A56AD">
        <w:rPr>
          <w:sz w:val="20"/>
        </w:rPr>
        <w:t>1 projecteur HDR de C</w:t>
      </w:r>
      <w:r w:rsidR="00531D41" w:rsidRPr="008A56AD">
        <w:rPr>
          <w:sz w:val="20"/>
        </w:rPr>
        <w:t>uriethérapie</w:t>
      </w:r>
      <w:r w:rsidR="008A56AD" w:rsidRPr="008A56AD">
        <w:rPr>
          <w:sz w:val="20"/>
        </w:rPr>
        <w:t xml:space="preserve"> et</w:t>
      </w:r>
      <w:r w:rsidR="00531D41" w:rsidRPr="008A56AD">
        <w:rPr>
          <w:sz w:val="20"/>
        </w:rPr>
        <w:t xml:space="preserve"> implants Iode 125</w:t>
      </w:r>
    </w:p>
    <w:p w:rsidR="00531D41" w:rsidRPr="008A56AD" w:rsidRDefault="00531D41" w:rsidP="008A56A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ARIA et </w:t>
      </w:r>
      <w:proofErr w:type="spellStart"/>
      <w:r w:rsidRPr="008A56AD">
        <w:rPr>
          <w:sz w:val="20"/>
        </w:rPr>
        <w:t>Dosisoft</w:t>
      </w:r>
      <w:proofErr w:type="spellEnd"/>
    </w:p>
    <w:p w:rsidR="00F60957" w:rsidRPr="008A56AD" w:rsidRDefault="00F60957" w:rsidP="008A56A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8A56AD">
        <w:rPr>
          <w:sz w:val="20"/>
        </w:rPr>
        <w:t>Un service d’hospitalisation de 16 lits (RTH externe) et 4 lits (Curiethérapie)</w:t>
      </w:r>
    </w:p>
    <w:p w:rsidR="00531D41" w:rsidRPr="008A56AD" w:rsidRDefault="00531D41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13 médecins </w:t>
      </w:r>
      <w:proofErr w:type="spellStart"/>
      <w:r w:rsidRPr="008A56AD">
        <w:rPr>
          <w:sz w:val="20"/>
        </w:rPr>
        <w:t>onco</w:t>
      </w:r>
      <w:proofErr w:type="spellEnd"/>
      <w:r w:rsidRPr="008A56AD">
        <w:rPr>
          <w:sz w:val="20"/>
        </w:rPr>
        <w:t>-radiothérapeutes (10,</w:t>
      </w:r>
      <w:r w:rsidR="00F60957" w:rsidRPr="008A56AD">
        <w:rPr>
          <w:sz w:val="20"/>
        </w:rPr>
        <w:t>5 ETP) dont 1 PU PH, 1 MCU-PH,</w:t>
      </w:r>
      <w:r w:rsidR="008A56AD" w:rsidRPr="008A56AD">
        <w:rPr>
          <w:sz w:val="20"/>
        </w:rPr>
        <w:t xml:space="preserve"> 1 ACC et 10 internes</w:t>
      </w:r>
      <w:r w:rsidRPr="008A56AD">
        <w:rPr>
          <w:sz w:val="20"/>
        </w:rPr>
        <w:t xml:space="preserve"> </w:t>
      </w:r>
    </w:p>
    <w:p w:rsidR="008A56AD" w:rsidRPr="008A56AD" w:rsidRDefault="00531D41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10,8 physiciens médicaux (dont 6 docteurs en physique), 2 aides physiciens et 3 DQPRM. </w:t>
      </w:r>
    </w:p>
    <w:p w:rsidR="00531D41" w:rsidRPr="008A56AD" w:rsidRDefault="00531D41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>40 manipulateurs (35 ETP)</w:t>
      </w:r>
      <w:r w:rsidR="00F60957" w:rsidRPr="008A56AD">
        <w:rPr>
          <w:sz w:val="20"/>
        </w:rPr>
        <w:t>, 10 infirmiers et 3 cadres (2</w:t>
      </w:r>
      <w:r w:rsidRPr="008A56AD">
        <w:rPr>
          <w:sz w:val="20"/>
        </w:rPr>
        <w:t xml:space="preserve">,5 ETP). </w:t>
      </w:r>
    </w:p>
    <w:p w:rsidR="00531D41" w:rsidRPr="008A56AD" w:rsidRDefault="00531D41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Au total </w:t>
      </w:r>
      <w:r w:rsidR="008A56AD" w:rsidRPr="008A56AD">
        <w:rPr>
          <w:sz w:val="20"/>
        </w:rPr>
        <w:t>2500 patients sont traités (</w:t>
      </w:r>
      <w:r w:rsidRPr="008A56AD">
        <w:rPr>
          <w:sz w:val="20"/>
        </w:rPr>
        <w:t xml:space="preserve">375 </w:t>
      </w:r>
      <w:proofErr w:type="spellStart"/>
      <w:r w:rsidRPr="008A56AD">
        <w:rPr>
          <w:sz w:val="20"/>
        </w:rPr>
        <w:t>Cyberknife</w:t>
      </w:r>
      <w:proofErr w:type="spellEnd"/>
      <w:r w:rsidRPr="008A56AD">
        <w:rPr>
          <w:sz w:val="20"/>
        </w:rPr>
        <w:t>®, 300 curiethérapie, 500 RCMI et 200 TOMO</w:t>
      </w:r>
      <w:r w:rsidR="008A56AD" w:rsidRPr="008A56AD">
        <w:rPr>
          <w:sz w:val="20"/>
        </w:rPr>
        <w:t>)</w:t>
      </w:r>
      <w:r w:rsidRPr="008A56AD">
        <w:rPr>
          <w:sz w:val="20"/>
        </w:rPr>
        <w:t xml:space="preserve">. </w:t>
      </w:r>
    </w:p>
    <w:p w:rsidR="00531D41" w:rsidRPr="008A56AD" w:rsidRDefault="008A56AD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>R</w:t>
      </w:r>
      <w:r w:rsidR="00531D41" w:rsidRPr="008A56AD">
        <w:rPr>
          <w:sz w:val="20"/>
        </w:rPr>
        <w:t xml:space="preserve">echerche clinique </w:t>
      </w:r>
      <w:r w:rsidRPr="008A56AD">
        <w:rPr>
          <w:sz w:val="20"/>
        </w:rPr>
        <w:t xml:space="preserve">et </w:t>
      </w:r>
      <w:r w:rsidR="00F60957" w:rsidRPr="008A56AD">
        <w:rPr>
          <w:sz w:val="20"/>
        </w:rPr>
        <w:t>recherche en R</w:t>
      </w:r>
      <w:r w:rsidR="00531D41" w:rsidRPr="008A56AD">
        <w:rPr>
          <w:sz w:val="20"/>
        </w:rPr>
        <w:t>adiobiologie</w:t>
      </w:r>
      <w:r w:rsidR="00087AC0" w:rsidRPr="008A56AD">
        <w:rPr>
          <w:sz w:val="20"/>
        </w:rPr>
        <w:t xml:space="preserve"> (Laboratoire IMOPA, U</w:t>
      </w:r>
      <w:r w:rsidR="00F60957" w:rsidRPr="008A56AD">
        <w:rPr>
          <w:sz w:val="20"/>
        </w:rPr>
        <w:t>MR 7365 CNRS-UL)</w:t>
      </w:r>
      <w:r w:rsidR="00531D41" w:rsidRPr="008A56AD">
        <w:rPr>
          <w:sz w:val="20"/>
        </w:rPr>
        <w:t xml:space="preserve">. </w:t>
      </w:r>
    </w:p>
    <w:p w:rsidR="00531D41" w:rsidRPr="008A56AD" w:rsidRDefault="00531D41" w:rsidP="008A56AD">
      <w:pPr>
        <w:pStyle w:val="Paragraphedeliste"/>
        <w:numPr>
          <w:ilvl w:val="0"/>
          <w:numId w:val="4"/>
        </w:numPr>
        <w:spacing w:line="240" w:lineRule="auto"/>
        <w:ind w:left="284" w:hanging="284"/>
        <w:jc w:val="both"/>
        <w:rPr>
          <w:sz w:val="20"/>
        </w:rPr>
      </w:pPr>
      <w:r w:rsidRPr="008A56AD">
        <w:rPr>
          <w:sz w:val="20"/>
          <w:u w:val="single"/>
        </w:rPr>
        <w:t xml:space="preserve">Le service de Radiothérapie </w:t>
      </w:r>
      <w:r w:rsidR="00E60982" w:rsidRPr="008A56AD">
        <w:rPr>
          <w:sz w:val="20"/>
          <w:u w:val="single"/>
        </w:rPr>
        <w:t>du CHED à Epinal est équipé de</w:t>
      </w:r>
      <w:r w:rsidR="00E60982" w:rsidRPr="008A56AD">
        <w:rPr>
          <w:sz w:val="20"/>
        </w:rPr>
        <w:t xml:space="preserve"> : </w:t>
      </w:r>
    </w:p>
    <w:p w:rsidR="00087AC0" w:rsidRPr="008A56AD" w:rsidRDefault="00087AC0" w:rsidP="008A56AD">
      <w:pPr>
        <w:pStyle w:val="Paragraphedeliste"/>
        <w:spacing w:line="240" w:lineRule="auto"/>
        <w:ind w:left="284"/>
        <w:jc w:val="both"/>
        <w:rPr>
          <w:sz w:val="10"/>
        </w:rPr>
      </w:pPr>
    </w:p>
    <w:p w:rsidR="00E60982" w:rsidRPr="008A56AD" w:rsidRDefault="00E60982" w:rsidP="008A56A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8A56AD">
        <w:rPr>
          <w:sz w:val="20"/>
        </w:rPr>
        <w:t>2 accélérateurs</w:t>
      </w:r>
      <w:r w:rsidR="00F60957" w:rsidRPr="008A56AD">
        <w:rPr>
          <w:sz w:val="20"/>
        </w:rPr>
        <w:t xml:space="preserve"> </w:t>
      </w:r>
      <w:proofErr w:type="spellStart"/>
      <w:r w:rsidR="00F60957" w:rsidRPr="008A56AD">
        <w:rPr>
          <w:sz w:val="20"/>
        </w:rPr>
        <w:t>Varian</w:t>
      </w:r>
      <w:proofErr w:type="spellEnd"/>
      <w:r w:rsidR="00F60957" w:rsidRPr="008A56AD">
        <w:rPr>
          <w:sz w:val="20"/>
        </w:rPr>
        <w:t xml:space="preserve"> </w:t>
      </w:r>
      <w:proofErr w:type="spellStart"/>
      <w:r w:rsidR="00F60957" w:rsidRPr="008A56AD">
        <w:rPr>
          <w:sz w:val="20"/>
        </w:rPr>
        <w:t>RapidArc</w:t>
      </w:r>
      <w:proofErr w:type="spellEnd"/>
      <w:r w:rsidR="00F60957" w:rsidRPr="008A56AD">
        <w:rPr>
          <w:sz w:val="20"/>
        </w:rPr>
        <w:t>®</w:t>
      </w:r>
    </w:p>
    <w:p w:rsidR="00E60982" w:rsidRPr="008A56AD" w:rsidRDefault="00E60982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>L’activité est a</w:t>
      </w:r>
      <w:r w:rsidR="008A56AD" w:rsidRPr="008A56AD">
        <w:rPr>
          <w:sz w:val="20"/>
        </w:rPr>
        <w:t>ssurée quotidiennement par 1  oncologue radiothérapeute de l’ICL senior assisté par 2 internes, accompagnés par 1 physicien médical</w:t>
      </w:r>
      <w:r w:rsidRPr="008A56AD">
        <w:rPr>
          <w:sz w:val="20"/>
        </w:rPr>
        <w:t xml:space="preserve"> de l’ICL. </w:t>
      </w:r>
    </w:p>
    <w:p w:rsidR="00E60982" w:rsidRPr="008A56AD" w:rsidRDefault="00E60982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Au total 600 patients sont pris en charge sur les 2 machines, certains patients peuvent être orientés à l’ICL pour des techniques spécifiques (curiethérapie, stéréotaxie). </w:t>
      </w:r>
    </w:p>
    <w:p w:rsidR="008F559D" w:rsidRPr="008A56AD" w:rsidRDefault="008F559D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 xml:space="preserve">L’activité est gérée en réseau avec l’ICL incluant des échanges avec médecins, physiciens, partage des connaissances et participation à l’activité de recherche possible. </w:t>
      </w:r>
    </w:p>
    <w:p w:rsidR="008F559D" w:rsidRPr="008A56AD" w:rsidRDefault="008F559D" w:rsidP="008A56AD">
      <w:pPr>
        <w:spacing w:line="240" w:lineRule="auto"/>
        <w:jc w:val="both"/>
        <w:rPr>
          <w:b/>
          <w:sz w:val="20"/>
        </w:rPr>
      </w:pPr>
      <w:r w:rsidRPr="008A56AD">
        <w:rPr>
          <w:b/>
          <w:sz w:val="20"/>
        </w:rPr>
        <w:t>Le temps de travail</w:t>
      </w:r>
      <w:r w:rsidRPr="008A56AD">
        <w:rPr>
          <w:sz w:val="20"/>
        </w:rPr>
        <w:t xml:space="preserve"> est à temps plein, </w:t>
      </w:r>
      <w:r w:rsidR="008A56AD" w:rsidRPr="008A56AD">
        <w:rPr>
          <w:b/>
          <w:sz w:val="20"/>
        </w:rPr>
        <w:t>partagé 4 jours ICL Nancy et 1 jour</w:t>
      </w:r>
      <w:r w:rsidRPr="008A56AD">
        <w:rPr>
          <w:b/>
          <w:sz w:val="20"/>
        </w:rPr>
        <w:t xml:space="preserve"> CHED Epinal. </w:t>
      </w:r>
    </w:p>
    <w:p w:rsidR="008F559D" w:rsidRPr="008A56AD" w:rsidRDefault="008F559D" w:rsidP="008A56AD">
      <w:pPr>
        <w:spacing w:line="240" w:lineRule="auto"/>
        <w:jc w:val="both"/>
        <w:rPr>
          <w:sz w:val="20"/>
        </w:rPr>
      </w:pPr>
      <w:r w:rsidRPr="008A56AD">
        <w:rPr>
          <w:b/>
          <w:sz w:val="20"/>
        </w:rPr>
        <w:t>La rémunération</w:t>
      </w:r>
      <w:r w:rsidRPr="008A56AD">
        <w:rPr>
          <w:sz w:val="20"/>
        </w:rPr>
        <w:t xml:space="preserve"> est établie selon la grille conventionnelle des CLCC en qualité de Praticien Spécialiste. Un complément de rémunération et des avantages matériels sont prévus compte tenu de </w:t>
      </w:r>
      <w:r w:rsidR="008A56AD" w:rsidRPr="008A56AD">
        <w:rPr>
          <w:sz w:val="20"/>
        </w:rPr>
        <w:t>l’activité partagée</w:t>
      </w:r>
      <w:r w:rsidRPr="008A56AD">
        <w:rPr>
          <w:sz w:val="20"/>
        </w:rPr>
        <w:t xml:space="preserve">. Un véhicule de service est mis à disposition pour se rendre à Epinal (70 km). </w:t>
      </w:r>
    </w:p>
    <w:tbl>
      <w:tblPr>
        <w:tblStyle w:val="Grilledutablea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56AD" w:rsidRPr="008A56AD" w:rsidTr="008A56AD">
        <w:tc>
          <w:tcPr>
            <w:tcW w:w="9212" w:type="dxa"/>
            <w:vAlign w:val="center"/>
          </w:tcPr>
          <w:p w:rsidR="008A56AD" w:rsidRPr="008A56AD" w:rsidRDefault="008A56AD" w:rsidP="008A56AD">
            <w:pPr>
              <w:jc w:val="center"/>
              <w:rPr>
                <w:sz w:val="8"/>
              </w:rPr>
            </w:pPr>
          </w:p>
          <w:p w:rsidR="008A56AD" w:rsidRPr="008A56AD" w:rsidRDefault="008A56AD" w:rsidP="008A56AD">
            <w:pPr>
              <w:jc w:val="center"/>
            </w:pPr>
            <w:r w:rsidRPr="008A56AD">
              <w:t xml:space="preserve">Pour tous renseignements, vous pouvez vous adresser à : </w:t>
            </w:r>
            <w:r w:rsidRPr="008A56AD">
              <w:rPr>
                <w:u w:val="single"/>
              </w:rPr>
              <w:t>secretariat.dp@nancy.unicancer.fr</w:t>
            </w:r>
          </w:p>
          <w:p w:rsidR="008A56AD" w:rsidRPr="008A56AD" w:rsidRDefault="008A56AD" w:rsidP="008A56AD">
            <w:pPr>
              <w:jc w:val="center"/>
              <w:rPr>
                <w:sz w:val="8"/>
              </w:rPr>
            </w:pPr>
          </w:p>
        </w:tc>
      </w:tr>
    </w:tbl>
    <w:p w:rsidR="00E60982" w:rsidRPr="008A56AD" w:rsidRDefault="00E60982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>Le chef du département Pr D. Peiffert</w:t>
      </w:r>
      <w:r w:rsidR="008A56AD" w:rsidRPr="008A56AD">
        <w:rPr>
          <w:sz w:val="20"/>
        </w:rPr>
        <w:t xml:space="preserve">   </w:t>
      </w:r>
      <w:r w:rsidR="008A56AD" w:rsidRPr="008A56AD">
        <w:rPr>
          <w:sz w:val="20"/>
          <w:u w:val="single"/>
        </w:rPr>
        <w:t>d.peiffert@nancy.unicancer.fr</w:t>
      </w:r>
    </w:p>
    <w:p w:rsidR="00E60982" w:rsidRPr="008A56AD" w:rsidRDefault="00E60982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>Responsable du plateau technique ICL</w:t>
      </w:r>
      <w:r w:rsidR="008A56AD">
        <w:rPr>
          <w:sz w:val="20"/>
        </w:rPr>
        <w:t> :</w:t>
      </w:r>
      <w:r w:rsidRPr="008A56AD">
        <w:rPr>
          <w:sz w:val="20"/>
        </w:rPr>
        <w:t xml:space="preserve"> Dr Charra-Brunaud</w:t>
      </w:r>
      <w:r w:rsidR="008A56AD">
        <w:rPr>
          <w:sz w:val="20"/>
        </w:rPr>
        <w:t>/</w:t>
      </w:r>
      <w:r w:rsidRPr="008A56AD">
        <w:rPr>
          <w:sz w:val="20"/>
        </w:rPr>
        <w:t>CHED Dr Beckendorf</w:t>
      </w:r>
    </w:p>
    <w:p w:rsidR="00E60982" w:rsidRPr="008A56AD" w:rsidRDefault="00E60982" w:rsidP="008A56AD">
      <w:pPr>
        <w:spacing w:line="240" w:lineRule="auto"/>
        <w:jc w:val="both"/>
        <w:rPr>
          <w:sz w:val="20"/>
        </w:rPr>
      </w:pPr>
      <w:r w:rsidRPr="008A56AD">
        <w:rPr>
          <w:sz w:val="20"/>
        </w:rPr>
        <w:t>Responsable physique Nancy/</w:t>
      </w:r>
      <w:r w:rsidR="008A56AD">
        <w:rPr>
          <w:sz w:val="20"/>
        </w:rPr>
        <w:t>CHED </w:t>
      </w:r>
      <w:proofErr w:type="gramStart"/>
      <w:r w:rsidR="008A56AD">
        <w:rPr>
          <w:sz w:val="20"/>
        </w:rPr>
        <w:t xml:space="preserve">: </w:t>
      </w:r>
      <w:r w:rsidRPr="008A56AD">
        <w:rPr>
          <w:sz w:val="20"/>
        </w:rPr>
        <w:t xml:space="preserve"> I</w:t>
      </w:r>
      <w:proofErr w:type="gramEnd"/>
      <w:r w:rsidRPr="008A56AD">
        <w:rPr>
          <w:sz w:val="20"/>
        </w:rPr>
        <w:t>. Buchheit/</w:t>
      </w:r>
      <w:proofErr w:type="spellStart"/>
      <w:r w:rsidRPr="008A56AD">
        <w:rPr>
          <w:sz w:val="20"/>
        </w:rPr>
        <w:t>V.Marchesi</w:t>
      </w:r>
      <w:bookmarkStart w:id="0" w:name="_GoBack"/>
      <w:bookmarkEnd w:id="0"/>
      <w:proofErr w:type="spellEnd"/>
    </w:p>
    <w:sectPr w:rsidR="00E60982" w:rsidRPr="008A56AD" w:rsidSect="00F6095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9A1"/>
    <w:multiLevelType w:val="hybridMultilevel"/>
    <w:tmpl w:val="F7700ACE"/>
    <w:lvl w:ilvl="0" w:tplc="9356D3E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358F"/>
    <w:multiLevelType w:val="hybridMultilevel"/>
    <w:tmpl w:val="30B61B7E"/>
    <w:lvl w:ilvl="0" w:tplc="45D6A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2486C"/>
    <w:multiLevelType w:val="hybridMultilevel"/>
    <w:tmpl w:val="9D0C7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7700"/>
    <w:multiLevelType w:val="hybridMultilevel"/>
    <w:tmpl w:val="4900F1FC"/>
    <w:lvl w:ilvl="0" w:tplc="F2C631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4"/>
    <w:rsid w:val="00087AC0"/>
    <w:rsid w:val="00110796"/>
    <w:rsid w:val="001148D9"/>
    <w:rsid w:val="00117773"/>
    <w:rsid w:val="00150CE4"/>
    <w:rsid w:val="00181E91"/>
    <w:rsid w:val="001B6C59"/>
    <w:rsid w:val="0040641D"/>
    <w:rsid w:val="00531D41"/>
    <w:rsid w:val="008A56AD"/>
    <w:rsid w:val="008F559D"/>
    <w:rsid w:val="00E60982"/>
    <w:rsid w:val="00F5414A"/>
    <w:rsid w:val="00F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C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559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A5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C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559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A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ureau%20de%20d.peiffert\www.icl-lorrain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EEF7-D03A-4735-889C-BC0EF3E1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de Lorraine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e.bieber</dc:creator>
  <cp:lastModifiedBy>Peiffert Didier</cp:lastModifiedBy>
  <cp:revision>2</cp:revision>
  <dcterms:created xsi:type="dcterms:W3CDTF">2017-04-03T17:46:00Z</dcterms:created>
  <dcterms:modified xsi:type="dcterms:W3CDTF">2017-04-03T17:46:00Z</dcterms:modified>
</cp:coreProperties>
</file>